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A8" w:rsidRDefault="00DD0CE1">
      <w:pPr>
        <w:jc w:val="center"/>
        <w:rPr>
          <w:rFonts w:ascii="Calibri" w:eastAsia="Calibri" w:hAnsi="Calibri" w:cs="Calibri"/>
          <w:b/>
        </w:rPr>
      </w:pPr>
      <w:bookmarkStart w:id="0" w:name="_GoBack"/>
      <w:bookmarkEnd w:id="0"/>
      <w:r>
        <w:rPr>
          <w:rFonts w:ascii="Calibri" w:eastAsia="Calibri" w:hAnsi="Calibri" w:cs="Calibri"/>
          <w:b/>
          <w:sz w:val="21"/>
          <w:szCs w:val="21"/>
        </w:rPr>
        <w:t>Carta Informativa de CVUSD sobre el examen de impulso de las matemáticas 7CP a Álgebra 1 CP</w:t>
      </w:r>
    </w:p>
    <w:p w:rsidR="00E036A8" w:rsidRDefault="00DD0CE1">
      <w:pPr>
        <w:rPr>
          <w:sz w:val="21"/>
          <w:szCs w:val="21"/>
        </w:rPr>
      </w:pPr>
      <w:r>
        <w:rPr>
          <w:sz w:val="21"/>
          <w:szCs w:val="21"/>
        </w:rPr>
        <w:t xml:space="preserve"> </w:t>
      </w:r>
    </w:p>
    <w:p w:rsidR="00E036A8" w:rsidRDefault="00DD0CE1">
      <w:pPr>
        <w:rPr>
          <w:sz w:val="21"/>
          <w:szCs w:val="21"/>
        </w:rPr>
      </w:pPr>
      <w:r>
        <w:rPr>
          <w:rFonts w:ascii="Calibri" w:eastAsia="Calibri" w:hAnsi="Calibri" w:cs="Calibri"/>
          <w:sz w:val="21"/>
          <w:szCs w:val="21"/>
        </w:rPr>
        <w:t>Estimados padres/Tutores legales</w:t>
      </w:r>
      <w:r>
        <w:rPr>
          <w:sz w:val="21"/>
          <w:szCs w:val="21"/>
        </w:rPr>
        <w:t>,</w:t>
      </w:r>
    </w:p>
    <w:p w:rsidR="00E036A8" w:rsidRDefault="00E036A8">
      <w:pPr>
        <w:rPr>
          <w:sz w:val="21"/>
          <w:szCs w:val="21"/>
        </w:rPr>
      </w:pPr>
    </w:p>
    <w:p w:rsidR="00E036A8" w:rsidRDefault="00DD0CE1">
      <w:pPr>
        <w:rPr>
          <w:rFonts w:ascii="Calibri" w:eastAsia="Calibri" w:hAnsi="Calibri" w:cs="Calibri"/>
          <w:color w:val="00B050"/>
          <w:sz w:val="21"/>
          <w:szCs w:val="21"/>
          <w:highlight w:val="yellow"/>
        </w:rPr>
      </w:pPr>
      <w:r>
        <w:rPr>
          <w:sz w:val="21"/>
          <w:szCs w:val="21"/>
        </w:rPr>
        <w:t xml:space="preserve">Todos los estudiantes actuales del CVUSD en el 7° grado que estén tomando Matemáticas 7CP e interesados en tomar la clase de Álgebra 1CP son elegibles para tomar el </w:t>
      </w:r>
      <w:r>
        <w:rPr>
          <w:b/>
          <w:sz w:val="21"/>
          <w:szCs w:val="21"/>
        </w:rPr>
        <w:t xml:space="preserve">examen </w:t>
      </w:r>
      <w:r>
        <w:rPr>
          <w:rFonts w:ascii="Calibri" w:eastAsia="Calibri" w:hAnsi="Calibri" w:cs="Calibri"/>
          <w:b/>
          <w:sz w:val="21"/>
          <w:szCs w:val="21"/>
        </w:rPr>
        <w:t>de impulso</w:t>
      </w:r>
      <w:r>
        <w:rPr>
          <w:sz w:val="21"/>
          <w:szCs w:val="21"/>
        </w:rPr>
        <w:t>, y todos los estudiantes de CVUSD de 7° grado que estén tomando Matemátic</w:t>
      </w:r>
      <w:r>
        <w:rPr>
          <w:sz w:val="21"/>
          <w:szCs w:val="21"/>
        </w:rPr>
        <w:t>as 7CP y califiquen (</w:t>
      </w:r>
      <w:r>
        <w:rPr>
          <w:rFonts w:ascii="Calibri" w:eastAsia="Calibri" w:hAnsi="Calibri" w:cs="Calibri"/>
          <w:sz w:val="21"/>
          <w:szCs w:val="21"/>
        </w:rPr>
        <w:t>consulte</w:t>
      </w:r>
      <w:r>
        <w:rPr>
          <w:sz w:val="21"/>
          <w:szCs w:val="21"/>
        </w:rPr>
        <w:t xml:space="preserve"> las calificaciones a continuación). </w:t>
      </w:r>
      <w:r>
        <w:rPr>
          <w:rFonts w:ascii="Calibri" w:eastAsia="Calibri" w:hAnsi="Calibri" w:cs="Calibri"/>
          <w:sz w:val="21"/>
          <w:szCs w:val="21"/>
        </w:rPr>
        <w:t xml:space="preserve">son elegibles para participar en </w:t>
      </w:r>
      <w:r>
        <w:rPr>
          <w:rFonts w:ascii="Calibri" w:eastAsia="Calibri" w:hAnsi="Calibri" w:cs="Calibri"/>
          <w:b/>
          <w:sz w:val="21"/>
          <w:szCs w:val="21"/>
        </w:rPr>
        <w:t>Matemáticas 7CP a Álgebra 1CP en el campamento de impulso</w:t>
      </w:r>
      <w:r>
        <w:rPr>
          <w:rFonts w:ascii="Calibri" w:eastAsia="Calibri" w:hAnsi="Calibri" w:cs="Calibri"/>
          <w:sz w:val="21"/>
          <w:szCs w:val="21"/>
        </w:rPr>
        <w:t>.</w:t>
      </w:r>
    </w:p>
    <w:p w:rsidR="00E036A8" w:rsidRDefault="00E036A8">
      <w:pPr>
        <w:rPr>
          <w:sz w:val="21"/>
          <w:szCs w:val="21"/>
        </w:rPr>
      </w:pPr>
    </w:p>
    <w:p w:rsidR="00E036A8" w:rsidRDefault="00DD0CE1">
      <w:pPr>
        <w:rPr>
          <w:sz w:val="21"/>
          <w:szCs w:val="21"/>
        </w:rPr>
      </w:pPr>
      <w:r>
        <w:rPr>
          <w:sz w:val="21"/>
          <w:szCs w:val="21"/>
        </w:rPr>
        <w:t>El Diagrama de Flujo de Matemáticas de CVUSD que se muestra en el reverso de esta carta y se encu</w:t>
      </w:r>
      <w:r>
        <w:rPr>
          <w:sz w:val="21"/>
          <w:szCs w:val="21"/>
        </w:rPr>
        <w:t xml:space="preserve">entra en el sitio de la red de nuestro Distrito en </w:t>
      </w:r>
      <w:hyperlink r:id="rId8">
        <w:r>
          <w:rPr>
            <w:color w:val="0000FF"/>
            <w:u w:val="single"/>
          </w:rPr>
          <w:t>https://www.conejousd.org/cms/lib/CA50010930/Centricity/Domain/9</w:t>
        </w:r>
        <w:r>
          <w:rPr>
            <w:color w:val="0000FF"/>
            <w:u w:val="single"/>
          </w:rPr>
          <w:t>0/Math%20Pathways%20-%20Updated%203.07.2023%20SPA%203.pdf</w:t>
        </w:r>
      </w:hyperlink>
      <w:r>
        <w:t xml:space="preserve"> </w:t>
      </w:r>
      <w:r>
        <w:rPr>
          <w:sz w:val="21"/>
          <w:szCs w:val="21"/>
        </w:rPr>
        <w:t xml:space="preserve"> delinea el diagrama de flujo de matemáticas de CVUSD para el año escolar 2022-2023. Estos caminos estándar estatales no permiten que los estudiantes pasen directamente de Matemáticas 7CP a Álgebra </w:t>
      </w:r>
      <w:r>
        <w:rPr>
          <w:sz w:val="21"/>
          <w:szCs w:val="21"/>
        </w:rPr>
        <w:t>1CP. Para avanzar de Matemáticas 7CP a Álgebra 1CP, los estudiantes deben completar el examen de impulso de Matemáticas 7CP a Álgebra 1CP con una puntuación del 70 % o superior. Si son elegibles, los estudiantes que toman el Campamento de impulso deben apr</w:t>
      </w:r>
      <w:r>
        <w:rPr>
          <w:sz w:val="21"/>
          <w:szCs w:val="21"/>
        </w:rPr>
        <w:t xml:space="preserve">obar el examen de impulso administrado al final del Campamento de impulso con un 70 % o más, o recibir una calificación general del </w:t>
      </w:r>
      <w:proofErr w:type="spellStart"/>
      <w:r>
        <w:rPr>
          <w:sz w:val="21"/>
          <w:szCs w:val="21"/>
        </w:rPr>
        <w:t>Boost</w:t>
      </w:r>
      <w:proofErr w:type="spellEnd"/>
      <w:r>
        <w:rPr>
          <w:sz w:val="21"/>
          <w:szCs w:val="21"/>
        </w:rPr>
        <w:t xml:space="preserve"> Camp del 80 %.</w:t>
      </w:r>
    </w:p>
    <w:p w:rsidR="00E036A8" w:rsidRDefault="00E036A8">
      <w:pPr>
        <w:rPr>
          <w:sz w:val="21"/>
          <w:szCs w:val="21"/>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036A8">
        <w:tc>
          <w:tcPr>
            <w:tcW w:w="10790" w:type="dxa"/>
          </w:tcPr>
          <w:p w:rsidR="00E036A8" w:rsidRDefault="00DD0CE1">
            <w:pPr>
              <w:rPr>
                <w:rFonts w:ascii="Calibri" w:eastAsia="Calibri" w:hAnsi="Calibri" w:cs="Calibri"/>
                <w:sz w:val="21"/>
                <w:szCs w:val="21"/>
              </w:rPr>
            </w:pPr>
            <w:r>
              <w:rPr>
                <w:rFonts w:ascii="Calibri" w:eastAsia="Calibri" w:hAnsi="Calibri" w:cs="Calibri"/>
                <w:b/>
                <w:sz w:val="21"/>
                <w:szCs w:val="21"/>
              </w:rPr>
              <w:t>Examen de impulso (</w:t>
            </w:r>
            <w:proofErr w:type="spellStart"/>
            <w:r>
              <w:rPr>
                <w:rFonts w:ascii="Calibri" w:eastAsia="Calibri" w:hAnsi="Calibri" w:cs="Calibri"/>
                <w:b/>
                <w:sz w:val="21"/>
                <w:szCs w:val="21"/>
              </w:rPr>
              <w:t>Boost</w:t>
            </w:r>
            <w:proofErr w:type="spellEnd"/>
            <w:r>
              <w:rPr>
                <w:rFonts w:ascii="Calibri" w:eastAsia="Calibri" w:hAnsi="Calibri" w:cs="Calibri"/>
                <w:b/>
                <w:sz w:val="21"/>
                <w:szCs w:val="21"/>
              </w:rPr>
              <w:t>)</w:t>
            </w:r>
            <w:r>
              <w:rPr>
                <w:rFonts w:ascii="Calibri" w:eastAsia="Calibri" w:hAnsi="Calibri" w:cs="Calibri"/>
                <w:sz w:val="21"/>
                <w:szCs w:val="21"/>
              </w:rPr>
              <w:t>:</w:t>
            </w:r>
          </w:p>
          <w:p w:rsidR="00E036A8" w:rsidRDefault="00DD0CE1">
            <w:pPr>
              <w:numPr>
                <w:ilvl w:val="0"/>
                <w:numId w:val="2"/>
              </w:numPr>
              <w:pBdr>
                <w:top w:val="nil"/>
                <w:left w:val="nil"/>
                <w:bottom w:val="nil"/>
                <w:right w:val="nil"/>
                <w:between w:val="nil"/>
              </w:pBdr>
              <w:rPr>
                <w:color w:val="000000"/>
                <w:sz w:val="21"/>
                <w:szCs w:val="21"/>
              </w:rPr>
            </w:pPr>
            <w:r>
              <w:rPr>
                <w:color w:val="000000"/>
                <w:sz w:val="21"/>
                <w:szCs w:val="21"/>
                <w:u w:val="single"/>
              </w:rPr>
              <w:t>Elegibilidad</w:t>
            </w:r>
            <w:r>
              <w:rPr>
                <w:color w:val="000000"/>
                <w:sz w:val="21"/>
                <w:szCs w:val="21"/>
              </w:rPr>
              <w:t xml:space="preserve">: Todos los estudiantes que toman Matemáticas 7CP pueden tomar </w:t>
            </w:r>
            <w:r>
              <w:rPr>
                <w:color w:val="000000"/>
                <w:sz w:val="21"/>
                <w:szCs w:val="21"/>
              </w:rPr>
              <w:t>el Examen de impulso (</w:t>
            </w:r>
            <w:proofErr w:type="spellStart"/>
            <w:r>
              <w:rPr>
                <w:color w:val="000000"/>
                <w:sz w:val="21"/>
                <w:szCs w:val="21"/>
              </w:rPr>
              <w:t>Boost</w:t>
            </w:r>
            <w:proofErr w:type="spellEnd"/>
            <w:r>
              <w:rPr>
                <w:color w:val="000000"/>
                <w:sz w:val="21"/>
                <w:szCs w:val="21"/>
              </w:rPr>
              <w:t>) de Matemáticas 7CP a Álgebra 1CP.</w:t>
            </w:r>
          </w:p>
          <w:p w:rsidR="00E036A8" w:rsidRDefault="00DD0CE1">
            <w:pPr>
              <w:numPr>
                <w:ilvl w:val="0"/>
                <w:numId w:val="2"/>
              </w:numPr>
              <w:pBdr>
                <w:top w:val="nil"/>
                <w:left w:val="nil"/>
                <w:bottom w:val="nil"/>
                <w:right w:val="nil"/>
                <w:between w:val="nil"/>
              </w:pBdr>
              <w:rPr>
                <w:color w:val="000000"/>
                <w:sz w:val="21"/>
                <w:szCs w:val="21"/>
              </w:rPr>
            </w:pPr>
            <w:r>
              <w:rPr>
                <w:color w:val="000000"/>
                <w:sz w:val="21"/>
                <w:szCs w:val="21"/>
                <w:u w:val="single"/>
              </w:rPr>
              <w:t>Descripción</w:t>
            </w:r>
            <w:r>
              <w:rPr>
                <w:color w:val="000000"/>
                <w:sz w:val="21"/>
                <w:szCs w:val="21"/>
              </w:rPr>
              <w:t>: Los estudiantes que buscan pasar de Matemáticas 7CP a Álgebra 1CP se saltarán un año completo de los Estándares de Matemáticas de 8° grado. El examen de refuerzo del Distrito pondr</w:t>
            </w:r>
            <w:r>
              <w:rPr>
                <w:color w:val="000000"/>
                <w:sz w:val="21"/>
                <w:szCs w:val="21"/>
              </w:rPr>
              <w:t xml:space="preserve">á a prueba esos conceptos y estándares de todo el curso de Matemáticas 8CP. Las guías de estudio que cubren este material están disponibles para que los estudiantes estudien antes de las fechas de examen. Los estudiantes que deseen realizar el examen </w:t>
            </w:r>
            <w:proofErr w:type="spellStart"/>
            <w:r>
              <w:rPr>
                <w:color w:val="000000"/>
                <w:sz w:val="21"/>
                <w:szCs w:val="21"/>
              </w:rPr>
              <w:t>Boost</w:t>
            </w:r>
            <w:proofErr w:type="spellEnd"/>
            <w:r>
              <w:rPr>
                <w:color w:val="000000"/>
                <w:sz w:val="21"/>
                <w:szCs w:val="21"/>
              </w:rPr>
              <w:t xml:space="preserve"> deben registrarse en el siguiente enlace.</w:t>
            </w:r>
          </w:p>
          <w:p w:rsidR="00E036A8" w:rsidRDefault="00DD0CE1">
            <w:pPr>
              <w:numPr>
                <w:ilvl w:val="0"/>
                <w:numId w:val="2"/>
              </w:numPr>
              <w:pBdr>
                <w:top w:val="nil"/>
                <w:left w:val="nil"/>
                <w:bottom w:val="nil"/>
                <w:right w:val="nil"/>
                <w:between w:val="nil"/>
              </w:pBdr>
              <w:rPr>
                <w:color w:val="000000"/>
                <w:sz w:val="21"/>
                <w:szCs w:val="21"/>
              </w:rPr>
            </w:pPr>
            <w:r>
              <w:rPr>
                <w:color w:val="000000"/>
                <w:sz w:val="21"/>
                <w:szCs w:val="21"/>
                <w:u w:val="single"/>
              </w:rPr>
              <w:t>Registro</w:t>
            </w:r>
            <w:r>
              <w:rPr>
                <w:color w:val="000000"/>
                <w:sz w:val="21"/>
                <w:szCs w:val="21"/>
              </w:rPr>
              <w:t>: cualquier estudiante puede registrarse en este enlace (</w:t>
            </w:r>
            <w:hyperlink r:id="rId9">
              <w:r>
                <w:rPr>
                  <w:color w:val="1155CC"/>
                  <w:sz w:val="21"/>
                  <w:szCs w:val="21"/>
                  <w:u w:val="single"/>
                </w:rPr>
                <w:t>http://bit.ly/CVMathPlacement</w:t>
              </w:r>
            </w:hyperlink>
            <w:r>
              <w:rPr>
                <w:sz w:val="21"/>
                <w:szCs w:val="21"/>
              </w:rPr>
              <w:t xml:space="preserve"> </w:t>
            </w:r>
            <w:r>
              <w:rPr>
                <w:color w:val="000000"/>
                <w:sz w:val="21"/>
                <w:szCs w:val="21"/>
              </w:rPr>
              <w:t xml:space="preserve">) para el examen de impulso de Matemáticas 7CP a Álgebra 1CP. Los Exámenes de impulso llamados </w:t>
            </w:r>
            <w:proofErr w:type="spellStart"/>
            <w:r>
              <w:rPr>
                <w:color w:val="000000"/>
                <w:sz w:val="21"/>
                <w:szCs w:val="21"/>
              </w:rPr>
              <w:t>Boost</w:t>
            </w:r>
            <w:proofErr w:type="spellEnd"/>
            <w:r>
              <w:rPr>
                <w:color w:val="000000"/>
                <w:sz w:val="21"/>
                <w:szCs w:val="21"/>
              </w:rPr>
              <w:t xml:space="preserve"> en inglés, se llevarán a cabo el martes 20 de junio de 2023 en la escuela primaria Madrona (612 Camino Manzanas, </w:t>
            </w:r>
            <w:proofErr w:type="spellStart"/>
            <w:r>
              <w:rPr>
                <w:color w:val="000000"/>
                <w:sz w:val="21"/>
                <w:szCs w:val="21"/>
              </w:rPr>
              <w:t>Thousand</w:t>
            </w:r>
            <w:proofErr w:type="spellEnd"/>
            <w:r>
              <w:rPr>
                <w:color w:val="000000"/>
                <w:sz w:val="21"/>
                <w:szCs w:val="21"/>
              </w:rPr>
              <w:t xml:space="preserve"> Oaks) o el viernes 28 de julio en</w:t>
            </w:r>
            <w:r>
              <w:rPr>
                <w:color w:val="000000"/>
                <w:sz w:val="21"/>
                <w:szCs w:val="21"/>
              </w:rPr>
              <w:t xml:space="preserve"> la escuela intermedia Los Cerritos (2100 E Ave de las Flores, </w:t>
            </w:r>
            <w:proofErr w:type="spellStart"/>
            <w:r>
              <w:rPr>
                <w:color w:val="000000"/>
                <w:sz w:val="21"/>
                <w:szCs w:val="21"/>
              </w:rPr>
              <w:t>Thousand</w:t>
            </w:r>
            <w:proofErr w:type="spellEnd"/>
            <w:r>
              <w:rPr>
                <w:color w:val="000000"/>
                <w:sz w:val="21"/>
                <w:szCs w:val="21"/>
              </w:rPr>
              <w:t xml:space="preserve"> Oaks). Cada estudiante solo puede tomar 1 examen por año. Ambos exámenes tienen cupo limitado, regístrese temprano para asegurar su lugar. El registro debe completarse antes del 22 de </w:t>
            </w:r>
            <w:r>
              <w:rPr>
                <w:color w:val="000000"/>
                <w:sz w:val="21"/>
                <w:szCs w:val="21"/>
              </w:rPr>
              <w:t>mayo de 2023.</w:t>
            </w:r>
          </w:p>
          <w:p w:rsidR="00E036A8" w:rsidRDefault="00DD0CE1">
            <w:pPr>
              <w:numPr>
                <w:ilvl w:val="0"/>
                <w:numId w:val="2"/>
              </w:numPr>
              <w:pBdr>
                <w:top w:val="nil"/>
                <w:left w:val="nil"/>
                <w:bottom w:val="nil"/>
                <w:right w:val="nil"/>
                <w:between w:val="nil"/>
              </w:pBdr>
              <w:rPr>
                <w:rFonts w:ascii="Calibri" w:eastAsia="Calibri" w:hAnsi="Calibri" w:cs="Calibri"/>
                <w:color w:val="000000"/>
                <w:sz w:val="21"/>
                <w:szCs w:val="21"/>
              </w:rPr>
            </w:pPr>
            <w:r>
              <w:rPr>
                <w:color w:val="000000"/>
                <w:sz w:val="21"/>
                <w:szCs w:val="21"/>
                <w:u w:val="single"/>
              </w:rPr>
              <w:t>Puntaje requerido</w:t>
            </w:r>
            <w:r>
              <w:rPr>
                <w:b/>
                <w:color w:val="000000"/>
                <w:sz w:val="21"/>
                <w:szCs w:val="21"/>
              </w:rPr>
              <w:t>:</w:t>
            </w:r>
            <w:r>
              <w:rPr>
                <w:color w:val="000000"/>
                <w:sz w:val="21"/>
                <w:szCs w:val="21"/>
                <w:u w:val="single"/>
              </w:rPr>
              <w:t xml:space="preserve"> </w:t>
            </w:r>
            <w:r>
              <w:rPr>
                <w:color w:val="000000"/>
                <w:sz w:val="21"/>
                <w:szCs w:val="21"/>
              </w:rPr>
              <w:t>el requisito previo para que los estudiantes pasen de Matemáticas 7CP a Álgebra 1CP es aprobar el examen de impulso (</w:t>
            </w:r>
            <w:proofErr w:type="spellStart"/>
            <w:r>
              <w:rPr>
                <w:color w:val="000000"/>
                <w:sz w:val="21"/>
                <w:szCs w:val="21"/>
              </w:rPr>
              <w:t>Boost</w:t>
            </w:r>
            <w:proofErr w:type="spellEnd"/>
            <w:r>
              <w:rPr>
                <w:color w:val="000000"/>
                <w:sz w:val="21"/>
                <w:szCs w:val="21"/>
              </w:rPr>
              <w:t>) con una puntuación del 70 % o superior.</w:t>
            </w:r>
          </w:p>
        </w:tc>
      </w:tr>
    </w:tbl>
    <w:p w:rsidR="00E036A8" w:rsidRDefault="00E036A8">
      <w:pPr>
        <w:rPr>
          <w:sz w:val="21"/>
          <w:szCs w:val="21"/>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036A8">
        <w:tc>
          <w:tcPr>
            <w:tcW w:w="10790" w:type="dxa"/>
          </w:tcPr>
          <w:p w:rsidR="00E036A8" w:rsidRDefault="00DD0CE1">
            <w:pPr>
              <w:rPr>
                <w:sz w:val="21"/>
                <w:szCs w:val="21"/>
              </w:rPr>
            </w:pPr>
            <w:r>
              <w:rPr>
                <w:rFonts w:ascii="Calibri" w:eastAsia="Calibri" w:hAnsi="Calibri" w:cs="Calibri"/>
                <w:b/>
                <w:sz w:val="21"/>
                <w:szCs w:val="21"/>
              </w:rPr>
              <w:t>Campamento de impulso</w:t>
            </w:r>
            <w:r>
              <w:rPr>
                <w:b/>
                <w:sz w:val="21"/>
                <w:szCs w:val="21"/>
              </w:rPr>
              <w:t xml:space="preserve"> (</w:t>
            </w:r>
            <w:proofErr w:type="spellStart"/>
            <w:r>
              <w:rPr>
                <w:b/>
                <w:sz w:val="21"/>
                <w:szCs w:val="21"/>
              </w:rPr>
              <w:t>Boost</w:t>
            </w:r>
            <w:proofErr w:type="spellEnd"/>
            <w:r>
              <w:rPr>
                <w:b/>
                <w:sz w:val="21"/>
                <w:szCs w:val="21"/>
              </w:rPr>
              <w:t xml:space="preserve"> Camp)</w:t>
            </w:r>
            <w:r>
              <w:rPr>
                <w:sz w:val="21"/>
                <w:szCs w:val="21"/>
              </w:rPr>
              <w:t>:</w:t>
            </w:r>
          </w:p>
          <w:p w:rsidR="00E036A8" w:rsidRDefault="00DD0CE1">
            <w:pPr>
              <w:numPr>
                <w:ilvl w:val="0"/>
                <w:numId w:val="1"/>
              </w:numPr>
              <w:pBdr>
                <w:top w:val="nil"/>
                <w:left w:val="nil"/>
                <w:bottom w:val="nil"/>
                <w:right w:val="nil"/>
                <w:between w:val="nil"/>
              </w:pBdr>
              <w:rPr>
                <w:color w:val="000000"/>
                <w:sz w:val="21"/>
                <w:szCs w:val="21"/>
              </w:rPr>
            </w:pPr>
            <w:r>
              <w:rPr>
                <w:color w:val="000000"/>
                <w:sz w:val="21"/>
                <w:szCs w:val="21"/>
                <w:u w:val="single"/>
              </w:rPr>
              <w:t>Elegibilidad</w:t>
            </w:r>
            <w:r>
              <w:rPr>
                <w:color w:val="000000"/>
                <w:sz w:val="21"/>
                <w:szCs w:val="21"/>
              </w:rPr>
              <w:t>: Los estudiantes que actualmente toman Matemáticas 7CP y obtuvieron A o B en el período de calificaciones del Semestre 1 pueden participar en el Campamento de impulso del distrito. Un estudiante que toma el Campamento de impulso aún debe aprobar el</w:t>
            </w:r>
            <w:r>
              <w:rPr>
                <w:b/>
                <w:color w:val="000000"/>
                <w:sz w:val="21"/>
                <w:szCs w:val="21"/>
              </w:rPr>
              <w:t xml:space="preserve"> Examen</w:t>
            </w:r>
            <w:r>
              <w:rPr>
                <w:b/>
                <w:color w:val="000000"/>
                <w:sz w:val="21"/>
                <w:szCs w:val="21"/>
              </w:rPr>
              <w:t xml:space="preserve"> de impulso de Matemáticas 7CP a Álgebra 1CP</w:t>
            </w:r>
            <w:r>
              <w:rPr>
                <w:color w:val="000000"/>
                <w:sz w:val="21"/>
                <w:szCs w:val="21"/>
              </w:rPr>
              <w:t xml:space="preserve"> al final del Campamento de impulso con un </w:t>
            </w:r>
            <w:r>
              <w:rPr>
                <w:b/>
                <w:color w:val="000000"/>
                <w:sz w:val="21"/>
                <w:szCs w:val="21"/>
              </w:rPr>
              <w:t>70% o más</w:t>
            </w:r>
            <w:r>
              <w:rPr>
                <w:color w:val="000000"/>
                <w:sz w:val="21"/>
                <w:szCs w:val="21"/>
              </w:rPr>
              <w:t xml:space="preserve"> para ser colocado en Álgebra 1CP, o recibir una </w:t>
            </w:r>
            <w:r>
              <w:rPr>
                <w:b/>
                <w:color w:val="000000"/>
                <w:sz w:val="21"/>
                <w:szCs w:val="21"/>
              </w:rPr>
              <w:t>calificación general de Campamento de impulso del 80%.</w:t>
            </w:r>
            <w:r>
              <w:rPr>
                <w:color w:val="000000"/>
                <w:sz w:val="21"/>
                <w:szCs w:val="21"/>
              </w:rPr>
              <w:t xml:space="preserve"> El espacio es limitado. Sin embargo, las familias de los</w:t>
            </w:r>
            <w:r>
              <w:rPr>
                <w:color w:val="000000"/>
                <w:sz w:val="21"/>
                <w:szCs w:val="21"/>
              </w:rPr>
              <w:t xml:space="preserve"> estudiantes que no califican según los criterios anteriores pueden solicitar participar en el Campamento de impulso completando este formulario de solicitud si su hijo(a) no es elegible.</w:t>
            </w:r>
          </w:p>
          <w:p w:rsidR="00E036A8" w:rsidRDefault="00DD0CE1">
            <w:pPr>
              <w:numPr>
                <w:ilvl w:val="0"/>
                <w:numId w:val="1"/>
              </w:numPr>
              <w:pBdr>
                <w:top w:val="nil"/>
                <w:left w:val="nil"/>
                <w:bottom w:val="nil"/>
                <w:right w:val="nil"/>
                <w:between w:val="nil"/>
              </w:pBdr>
              <w:rPr>
                <w:color w:val="000000"/>
                <w:sz w:val="21"/>
                <w:szCs w:val="21"/>
              </w:rPr>
            </w:pPr>
            <w:r>
              <w:rPr>
                <w:color w:val="000000"/>
                <w:sz w:val="21"/>
                <w:szCs w:val="21"/>
                <w:u w:val="single"/>
              </w:rPr>
              <w:t>Descripción</w:t>
            </w:r>
            <w:r>
              <w:rPr>
                <w:color w:val="000000"/>
                <w:sz w:val="21"/>
                <w:szCs w:val="21"/>
              </w:rPr>
              <w:t xml:space="preserve">: </w:t>
            </w:r>
            <w:r>
              <w:rPr>
                <w:sz w:val="21"/>
                <w:szCs w:val="21"/>
              </w:rPr>
              <w:t xml:space="preserve">Campamento de impulso es una oportunidad de escuela de </w:t>
            </w:r>
            <w:r>
              <w:rPr>
                <w:sz w:val="21"/>
                <w:szCs w:val="21"/>
              </w:rPr>
              <w:t>verano en persona sin costo alguno</w:t>
            </w:r>
            <w:r>
              <w:rPr>
                <w:color w:val="000000"/>
                <w:sz w:val="21"/>
                <w:szCs w:val="21"/>
              </w:rPr>
              <w:t xml:space="preserve"> del 5 al 28 de julio de 2023 de 8:30 a. m. a 11:50 p. m. para obtener conocimientos adicionales necesarios para Álgebra 1CP. Los estudiantes deben tomar el examen de impulso (</w:t>
            </w:r>
            <w:proofErr w:type="spellStart"/>
            <w:r>
              <w:rPr>
                <w:color w:val="000000"/>
                <w:sz w:val="21"/>
                <w:szCs w:val="21"/>
              </w:rPr>
              <w:t>Boost</w:t>
            </w:r>
            <w:proofErr w:type="spellEnd"/>
            <w:r>
              <w:rPr>
                <w:color w:val="000000"/>
                <w:sz w:val="21"/>
                <w:szCs w:val="21"/>
              </w:rPr>
              <w:t xml:space="preserve">) el </w:t>
            </w:r>
            <w:r>
              <w:rPr>
                <w:b/>
                <w:color w:val="000000"/>
                <w:sz w:val="21"/>
                <w:szCs w:val="21"/>
              </w:rPr>
              <w:t>viernes 28 de julio en la escuela se</w:t>
            </w:r>
            <w:r>
              <w:rPr>
                <w:b/>
                <w:color w:val="000000"/>
                <w:sz w:val="21"/>
                <w:szCs w:val="21"/>
              </w:rPr>
              <w:t>cundaria Los Cerritos</w:t>
            </w:r>
            <w:r>
              <w:rPr>
                <w:color w:val="000000"/>
                <w:sz w:val="21"/>
                <w:szCs w:val="21"/>
              </w:rPr>
              <w:t xml:space="preserve"> (2100 E Ave de las Flores, </w:t>
            </w:r>
            <w:proofErr w:type="spellStart"/>
            <w:r>
              <w:rPr>
                <w:color w:val="000000"/>
                <w:sz w:val="21"/>
                <w:szCs w:val="21"/>
              </w:rPr>
              <w:t>Thousand</w:t>
            </w:r>
            <w:proofErr w:type="spellEnd"/>
            <w:r>
              <w:rPr>
                <w:color w:val="000000"/>
                <w:sz w:val="21"/>
                <w:szCs w:val="21"/>
              </w:rPr>
              <w:t xml:space="preserve"> Oaks).</w:t>
            </w:r>
          </w:p>
          <w:p w:rsidR="00E036A8" w:rsidRDefault="00DD0CE1">
            <w:pPr>
              <w:numPr>
                <w:ilvl w:val="0"/>
                <w:numId w:val="1"/>
              </w:numPr>
              <w:pBdr>
                <w:top w:val="nil"/>
                <w:left w:val="nil"/>
                <w:bottom w:val="nil"/>
                <w:right w:val="nil"/>
                <w:between w:val="nil"/>
              </w:pBdr>
              <w:rPr>
                <w:color w:val="000000"/>
                <w:sz w:val="21"/>
                <w:szCs w:val="21"/>
              </w:rPr>
            </w:pPr>
            <w:r>
              <w:rPr>
                <w:color w:val="000000"/>
                <w:sz w:val="21"/>
                <w:szCs w:val="21"/>
                <w:u w:val="single"/>
              </w:rPr>
              <w:t>Inscripción</w:t>
            </w:r>
            <w:r>
              <w:rPr>
                <w:color w:val="000000"/>
                <w:sz w:val="21"/>
                <w:szCs w:val="21"/>
              </w:rPr>
              <w:t xml:space="preserve">: Los estudiantes elegibles deben registrarse en este enlace (http://bit.ly/CVMathPlacement) para el </w:t>
            </w:r>
            <w:r>
              <w:rPr>
                <w:b/>
                <w:color w:val="000000"/>
                <w:sz w:val="21"/>
                <w:szCs w:val="21"/>
              </w:rPr>
              <w:t>Campamento de impulso de Matemáticas 7CP a Álgebra 1CP</w:t>
            </w:r>
            <w:r>
              <w:rPr>
                <w:color w:val="000000"/>
                <w:sz w:val="21"/>
                <w:szCs w:val="21"/>
              </w:rPr>
              <w:t>. Estos estudiantes tomar</w:t>
            </w:r>
            <w:r>
              <w:rPr>
                <w:color w:val="000000"/>
                <w:sz w:val="21"/>
                <w:szCs w:val="21"/>
              </w:rPr>
              <w:t xml:space="preserve">án el examen de </w:t>
            </w:r>
            <w:proofErr w:type="gramStart"/>
            <w:r>
              <w:rPr>
                <w:color w:val="000000"/>
                <w:sz w:val="21"/>
                <w:szCs w:val="21"/>
              </w:rPr>
              <w:t xml:space="preserve">impulso  </w:t>
            </w:r>
            <w:r>
              <w:rPr>
                <w:color w:val="000000"/>
                <w:sz w:val="21"/>
                <w:szCs w:val="21"/>
              </w:rPr>
              <w:lastRenderedPageBreak/>
              <w:t>(</w:t>
            </w:r>
            <w:proofErr w:type="spellStart"/>
            <w:proofErr w:type="gramEnd"/>
            <w:r>
              <w:rPr>
                <w:color w:val="000000"/>
                <w:sz w:val="21"/>
                <w:szCs w:val="21"/>
              </w:rPr>
              <w:t>Boost</w:t>
            </w:r>
            <w:proofErr w:type="spellEnd"/>
            <w:r>
              <w:rPr>
                <w:color w:val="000000"/>
                <w:sz w:val="21"/>
                <w:szCs w:val="21"/>
              </w:rPr>
              <w:t xml:space="preserve">) el </w:t>
            </w:r>
            <w:r>
              <w:rPr>
                <w:b/>
                <w:color w:val="000000"/>
                <w:sz w:val="21"/>
                <w:szCs w:val="21"/>
              </w:rPr>
              <w:t>viernes 28 de julio en la Escuela Intermedia Los Cerritos</w:t>
            </w:r>
            <w:r>
              <w:rPr>
                <w:color w:val="000000"/>
                <w:sz w:val="21"/>
                <w:szCs w:val="21"/>
              </w:rPr>
              <w:t xml:space="preserve"> (2100 E Ave de las Flores, </w:t>
            </w:r>
            <w:proofErr w:type="spellStart"/>
            <w:r>
              <w:rPr>
                <w:color w:val="000000"/>
                <w:sz w:val="21"/>
                <w:szCs w:val="21"/>
              </w:rPr>
              <w:t>Thousand</w:t>
            </w:r>
            <w:proofErr w:type="spellEnd"/>
            <w:r>
              <w:rPr>
                <w:color w:val="000000"/>
                <w:sz w:val="21"/>
                <w:szCs w:val="21"/>
              </w:rPr>
              <w:t xml:space="preserve"> Oaks). </w:t>
            </w:r>
            <w:r>
              <w:rPr>
                <w:b/>
                <w:color w:val="000000"/>
                <w:sz w:val="21"/>
                <w:szCs w:val="21"/>
              </w:rPr>
              <w:t>El registro debe completarse antes del 22 de mayo de 2023</w:t>
            </w:r>
            <w:r>
              <w:rPr>
                <w:color w:val="000000"/>
                <w:sz w:val="21"/>
                <w:szCs w:val="21"/>
              </w:rPr>
              <w:t>.</w:t>
            </w:r>
          </w:p>
          <w:p w:rsidR="00E036A8" w:rsidRDefault="00DD0CE1">
            <w:pPr>
              <w:numPr>
                <w:ilvl w:val="0"/>
                <w:numId w:val="1"/>
              </w:numPr>
              <w:pBdr>
                <w:top w:val="nil"/>
                <w:left w:val="nil"/>
                <w:bottom w:val="nil"/>
                <w:right w:val="nil"/>
                <w:between w:val="nil"/>
              </w:pBdr>
              <w:rPr>
                <w:rFonts w:ascii="Calibri" w:eastAsia="Calibri" w:hAnsi="Calibri" w:cs="Calibri"/>
                <w:color w:val="000000"/>
                <w:sz w:val="21"/>
                <w:szCs w:val="21"/>
              </w:rPr>
            </w:pPr>
            <w:r>
              <w:rPr>
                <w:color w:val="000000"/>
                <w:sz w:val="21"/>
                <w:szCs w:val="21"/>
                <w:u w:val="single"/>
              </w:rPr>
              <w:t>Puntaje requerido</w:t>
            </w:r>
            <w:r>
              <w:rPr>
                <w:color w:val="000000"/>
                <w:sz w:val="21"/>
                <w:szCs w:val="21"/>
              </w:rPr>
              <w:t>: Para ser colocados en Álgebra 1CP, los es</w:t>
            </w:r>
            <w:r>
              <w:rPr>
                <w:color w:val="000000"/>
                <w:sz w:val="21"/>
                <w:szCs w:val="21"/>
              </w:rPr>
              <w:t>tudiantes que toman el Campamento de impulso, deben aprobar el examen de impulso (</w:t>
            </w:r>
            <w:proofErr w:type="spellStart"/>
            <w:r>
              <w:rPr>
                <w:color w:val="000000"/>
                <w:sz w:val="21"/>
                <w:szCs w:val="21"/>
              </w:rPr>
              <w:t>Boost</w:t>
            </w:r>
            <w:proofErr w:type="spellEnd"/>
            <w:r>
              <w:rPr>
                <w:color w:val="000000"/>
                <w:sz w:val="21"/>
                <w:szCs w:val="21"/>
              </w:rPr>
              <w:t xml:space="preserve">) administrado al final del Campamento de impulso con </w:t>
            </w:r>
            <w:r>
              <w:rPr>
                <w:b/>
                <w:color w:val="000000"/>
                <w:sz w:val="21"/>
                <w:szCs w:val="21"/>
              </w:rPr>
              <w:t>un 70 % o más</w:t>
            </w:r>
            <w:r>
              <w:rPr>
                <w:color w:val="000000"/>
                <w:sz w:val="21"/>
                <w:szCs w:val="21"/>
              </w:rPr>
              <w:t xml:space="preserve"> </w:t>
            </w:r>
            <w:r>
              <w:rPr>
                <w:b/>
                <w:color w:val="000000"/>
                <w:sz w:val="21"/>
                <w:szCs w:val="21"/>
              </w:rPr>
              <w:t>alto</w:t>
            </w:r>
            <w:r>
              <w:rPr>
                <w:color w:val="000000"/>
                <w:sz w:val="21"/>
                <w:szCs w:val="21"/>
              </w:rPr>
              <w:t xml:space="preserve">, o recibir una calificación general del </w:t>
            </w:r>
            <w:r>
              <w:rPr>
                <w:b/>
                <w:color w:val="000000"/>
                <w:sz w:val="21"/>
                <w:szCs w:val="21"/>
              </w:rPr>
              <w:t>Campamento de impulso del 80 %</w:t>
            </w:r>
          </w:p>
        </w:tc>
      </w:tr>
    </w:tbl>
    <w:p w:rsidR="00E036A8" w:rsidRDefault="00E036A8">
      <w:pPr>
        <w:rPr>
          <w:sz w:val="21"/>
          <w:szCs w:val="21"/>
        </w:rPr>
      </w:pPr>
    </w:p>
    <w:p w:rsidR="00E036A8" w:rsidRDefault="00DD0CE1">
      <w:pPr>
        <w:rPr>
          <w:sz w:val="21"/>
          <w:szCs w:val="21"/>
        </w:rPr>
      </w:pPr>
      <w:r>
        <w:rPr>
          <w:sz w:val="21"/>
          <w:szCs w:val="21"/>
        </w:rPr>
        <w:t>Si tiene alguna pregunt</w:t>
      </w:r>
      <w:r>
        <w:rPr>
          <w:sz w:val="21"/>
          <w:szCs w:val="21"/>
        </w:rPr>
        <w:t>a o necesita más información, comuníquese con el subdirector de la escuela intermedia de su hijo.</w:t>
      </w:r>
    </w:p>
    <w:p w:rsidR="00E036A8" w:rsidRDefault="00E036A8">
      <w:pPr>
        <w:rPr>
          <w:sz w:val="21"/>
          <w:szCs w:val="21"/>
        </w:rPr>
      </w:pPr>
    </w:p>
    <w:p w:rsidR="00E036A8" w:rsidRDefault="00DD0CE1">
      <w:pPr>
        <w:rPr>
          <w:sz w:val="21"/>
          <w:szCs w:val="21"/>
        </w:rPr>
      </w:pPr>
      <w:r>
        <w:rPr>
          <w:sz w:val="21"/>
          <w:szCs w:val="21"/>
        </w:rPr>
        <w:t>Sinceramente,</w:t>
      </w:r>
    </w:p>
    <w:p w:rsidR="00E036A8" w:rsidRDefault="00DD0CE1">
      <w:pPr>
        <w:rPr>
          <w:sz w:val="21"/>
          <w:szCs w:val="21"/>
        </w:rPr>
      </w:pPr>
      <w:r>
        <w:rPr>
          <w:sz w:val="21"/>
          <w:szCs w:val="21"/>
        </w:rPr>
        <w:t>Sonia Wilson</w:t>
      </w:r>
    </w:p>
    <w:p w:rsidR="00E036A8" w:rsidRDefault="00DD0CE1">
      <w:pPr>
        <w:rPr>
          <w:sz w:val="21"/>
          <w:szCs w:val="21"/>
        </w:rPr>
      </w:pPr>
      <w:r>
        <w:rPr>
          <w:sz w:val="21"/>
          <w:szCs w:val="21"/>
        </w:rPr>
        <w:t>Directora de escuelas intermedias</w:t>
      </w:r>
    </w:p>
    <w:p w:rsidR="00E036A8" w:rsidRDefault="00E036A8">
      <w:pPr>
        <w:ind w:right="-464"/>
      </w:pPr>
    </w:p>
    <w:p w:rsidR="00E036A8" w:rsidRDefault="00DD0CE1">
      <w:bookmarkStart w:id="1" w:name="_heading=h.8ximqf3spzzb" w:colFirst="0" w:colLast="0"/>
      <w:bookmarkEnd w:id="1"/>
      <w:r>
        <w:rPr>
          <w:noProof/>
          <w:lang w:val="en-US"/>
        </w:rPr>
        <w:lastRenderedPageBreak/>
        <w:drawing>
          <wp:inline distT="0" distB="0" distL="0" distR="0">
            <wp:extent cx="9144000" cy="6858000"/>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rot="16200000">
                      <a:off x="0" y="0"/>
                      <a:ext cx="9144000" cy="6858000"/>
                    </a:xfrm>
                    <a:prstGeom prst="rect">
                      <a:avLst/>
                    </a:prstGeom>
                    <a:ln/>
                  </pic:spPr>
                </pic:pic>
              </a:graphicData>
            </a:graphic>
          </wp:inline>
        </w:drawing>
      </w:r>
      <w:r>
        <w:rPr>
          <w:noProof/>
          <w:lang w:val="en-US"/>
        </w:rPr>
        <w:lastRenderedPageBreak/>
        <w:drawing>
          <wp:inline distT="0" distB="0" distL="0" distR="0">
            <wp:extent cx="9144000" cy="6858000"/>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rot="16200000">
                      <a:off x="0" y="0"/>
                      <a:ext cx="9144000" cy="6858000"/>
                    </a:xfrm>
                    <a:prstGeom prst="rect">
                      <a:avLst/>
                    </a:prstGeom>
                    <a:ln/>
                  </pic:spPr>
                </pic:pic>
              </a:graphicData>
            </a:graphic>
          </wp:inline>
        </w:drawing>
      </w:r>
    </w:p>
    <w:sectPr w:rsidR="00E036A8">
      <w:headerReference w:type="first" r:id="rId12"/>
      <w:pgSz w:w="12240" w:h="15840"/>
      <w:pgMar w:top="720" w:right="720" w:bottom="360" w:left="720" w:header="432"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D0CE1">
      <w:r>
        <w:separator/>
      </w:r>
    </w:p>
  </w:endnote>
  <w:endnote w:type="continuationSeparator" w:id="0">
    <w:p w:rsidR="00000000" w:rsidRDefault="00DD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D0CE1">
      <w:r>
        <w:separator/>
      </w:r>
    </w:p>
  </w:footnote>
  <w:footnote w:type="continuationSeparator" w:id="0">
    <w:p w:rsidR="00000000" w:rsidRDefault="00DD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A8" w:rsidRDefault="00E036A8">
    <w:pPr>
      <w:widowControl w:val="0"/>
      <w:pBdr>
        <w:top w:val="nil"/>
        <w:left w:val="nil"/>
        <w:bottom w:val="nil"/>
        <w:right w:val="nil"/>
        <w:between w:val="nil"/>
      </w:pBdr>
      <w:spacing w:line="276" w:lineRule="auto"/>
      <w:rPr>
        <w:rFonts w:ascii="Calibri" w:eastAsia="Calibri" w:hAnsi="Calibri" w:cs="Calibri"/>
        <w:sz w:val="22"/>
        <w:szCs w:val="22"/>
      </w:rPr>
    </w:pPr>
  </w:p>
  <w:tbl>
    <w:tblPr>
      <w:tblStyle w:val="ad"/>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785"/>
      <w:gridCol w:w="2642"/>
      <w:gridCol w:w="6373"/>
    </w:tblGrid>
    <w:tr w:rsidR="00E036A8">
      <w:trPr>
        <w:trHeight w:val="1008"/>
        <w:jc w:val="center"/>
      </w:trPr>
      <w:tc>
        <w:tcPr>
          <w:tcW w:w="1785" w:type="dxa"/>
        </w:tcPr>
        <w:p w:rsidR="00E036A8" w:rsidRDefault="00DD0CE1">
          <w:pPr>
            <w:pBdr>
              <w:top w:val="nil"/>
              <w:left w:val="nil"/>
              <w:bottom w:val="nil"/>
              <w:right w:val="nil"/>
              <w:between w:val="nil"/>
            </w:pBdr>
            <w:tabs>
              <w:tab w:val="center" w:pos="4320"/>
              <w:tab w:val="right" w:pos="8640"/>
            </w:tabs>
            <w:ind w:left="-131"/>
            <w:jc w:val="both"/>
            <w:rPr>
              <w:color w:val="000000"/>
            </w:rPr>
          </w:pPr>
          <w:r>
            <w:rPr>
              <w:noProof/>
              <w:color w:val="000000"/>
              <w:lang w:val="en-US"/>
            </w:rPr>
            <w:drawing>
              <wp:inline distT="0" distB="0" distL="0" distR="0">
                <wp:extent cx="1013012" cy="914400"/>
                <wp:effectExtent l="0" t="0" r="0" b="0"/>
                <wp:docPr id="16" name="image1.jpg" descr="CVUSD Black Logo thumbnail size"/>
                <wp:cNvGraphicFramePr/>
                <a:graphic xmlns:a="http://schemas.openxmlformats.org/drawingml/2006/main">
                  <a:graphicData uri="http://schemas.openxmlformats.org/drawingml/2006/picture">
                    <pic:pic xmlns:pic="http://schemas.openxmlformats.org/drawingml/2006/picture">
                      <pic:nvPicPr>
                        <pic:cNvPr id="0" name="image1.jpg" descr="CVUSD Black Logo thumbnail size"/>
                        <pic:cNvPicPr preferRelativeResize="0"/>
                      </pic:nvPicPr>
                      <pic:blipFill>
                        <a:blip r:embed="rId1"/>
                        <a:srcRect/>
                        <a:stretch>
                          <a:fillRect/>
                        </a:stretch>
                      </pic:blipFill>
                      <pic:spPr>
                        <a:xfrm>
                          <a:off x="0" y="0"/>
                          <a:ext cx="1013012" cy="914400"/>
                        </a:xfrm>
                        <a:prstGeom prst="rect">
                          <a:avLst/>
                        </a:prstGeom>
                        <a:ln/>
                      </pic:spPr>
                    </pic:pic>
                  </a:graphicData>
                </a:graphic>
              </wp:inline>
            </w:drawing>
          </w:r>
        </w:p>
      </w:tc>
      <w:tc>
        <w:tcPr>
          <w:tcW w:w="9015" w:type="dxa"/>
          <w:gridSpan w:val="2"/>
          <w:vAlign w:val="center"/>
        </w:tcPr>
        <w:p w:rsidR="00E036A8" w:rsidRDefault="00DD0CE1">
          <w:pPr>
            <w:pStyle w:val="Title"/>
            <w:tabs>
              <w:tab w:val="left" w:pos="9360"/>
            </w:tabs>
            <w:ind w:right="1569"/>
            <w:rPr>
              <w:rFonts w:ascii="Verdana" w:eastAsia="Verdana" w:hAnsi="Verdana" w:cs="Verdana"/>
              <w:sz w:val="28"/>
              <w:szCs w:val="28"/>
            </w:rPr>
          </w:pPr>
          <w:r>
            <w:rPr>
              <w:rFonts w:ascii="Verdana" w:eastAsia="Verdana" w:hAnsi="Verdana" w:cs="Verdana"/>
              <w:sz w:val="28"/>
              <w:szCs w:val="28"/>
            </w:rPr>
            <w:t xml:space="preserve">Conejo Valley </w:t>
          </w:r>
          <w:proofErr w:type="spellStart"/>
          <w:r>
            <w:rPr>
              <w:rFonts w:ascii="Verdana" w:eastAsia="Verdana" w:hAnsi="Verdana" w:cs="Verdana"/>
              <w:sz w:val="28"/>
              <w:szCs w:val="28"/>
            </w:rPr>
            <w:t>Unified</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School</w:t>
          </w:r>
          <w:proofErr w:type="spellEnd"/>
          <w:r>
            <w:rPr>
              <w:rFonts w:ascii="Verdana" w:eastAsia="Verdana" w:hAnsi="Verdana" w:cs="Verdana"/>
              <w:sz w:val="28"/>
              <w:szCs w:val="28"/>
            </w:rPr>
            <w:t xml:space="preserve"> </w:t>
          </w:r>
          <w:proofErr w:type="spellStart"/>
          <w:r>
            <w:rPr>
              <w:rFonts w:ascii="Verdana" w:eastAsia="Verdana" w:hAnsi="Verdana" w:cs="Verdana"/>
              <w:sz w:val="28"/>
              <w:szCs w:val="28"/>
            </w:rPr>
            <w:t>District</w:t>
          </w:r>
          <w:proofErr w:type="spellEnd"/>
        </w:p>
        <w:p w:rsidR="00E036A8" w:rsidRDefault="00DD0CE1">
          <w:pPr>
            <w:pBdr>
              <w:top w:val="nil"/>
              <w:left w:val="nil"/>
              <w:bottom w:val="nil"/>
              <w:right w:val="nil"/>
              <w:between w:val="nil"/>
            </w:pBdr>
            <w:tabs>
              <w:tab w:val="center" w:pos="4320"/>
              <w:tab w:val="right" w:pos="8640"/>
            </w:tabs>
            <w:ind w:right="1569"/>
            <w:jc w:val="center"/>
            <w:rPr>
              <w:rFonts w:ascii="Verdana" w:eastAsia="Verdana" w:hAnsi="Verdana" w:cs="Verdana"/>
              <w:color w:val="000000"/>
              <w:sz w:val="14"/>
              <w:szCs w:val="14"/>
            </w:rPr>
          </w:pPr>
          <w:r>
            <w:rPr>
              <w:rFonts w:ascii="Verdana" w:eastAsia="Verdana" w:hAnsi="Verdana" w:cs="Verdana"/>
              <w:color w:val="000000"/>
              <w:sz w:val="14"/>
              <w:szCs w:val="14"/>
            </w:rPr>
            <w:t xml:space="preserve">1400 East </w:t>
          </w:r>
          <w:proofErr w:type="spellStart"/>
          <w:r>
            <w:rPr>
              <w:rFonts w:ascii="Verdana" w:eastAsia="Verdana" w:hAnsi="Verdana" w:cs="Verdana"/>
              <w:color w:val="000000"/>
              <w:sz w:val="14"/>
              <w:szCs w:val="14"/>
            </w:rPr>
            <w:t>Janss</w:t>
          </w:r>
          <w:proofErr w:type="spellEnd"/>
          <w:r>
            <w:rPr>
              <w:rFonts w:ascii="Verdana" w:eastAsia="Verdana" w:hAnsi="Verdana" w:cs="Verdana"/>
              <w:color w:val="000000"/>
              <w:sz w:val="14"/>
              <w:szCs w:val="14"/>
            </w:rPr>
            <w:t xml:space="preserve"> Road, </w:t>
          </w:r>
          <w:proofErr w:type="spellStart"/>
          <w:r>
            <w:rPr>
              <w:rFonts w:ascii="Verdana" w:eastAsia="Verdana" w:hAnsi="Verdana" w:cs="Verdana"/>
              <w:color w:val="000000"/>
              <w:sz w:val="14"/>
              <w:szCs w:val="14"/>
            </w:rPr>
            <w:t>Thousand</w:t>
          </w:r>
          <w:proofErr w:type="spellEnd"/>
          <w:r>
            <w:rPr>
              <w:rFonts w:ascii="Verdana" w:eastAsia="Verdana" w:hAnsi="Verdana" w:cs="Verdana"/>
              <w:color w:val="000000"/>
              <w:sz w:val="14"/>
              <w:szCs w:val="14"/>
            </w:rPr>
            <w:t xml:space="preserve"> Oaks, California 91362-2198</w:t>
          </w:r>
        </w:p>
        <w:p w:rsidR="00E036A8" w:rsidRDefault="00DD0CE1">
          <w:pPr>
            <w:pBdr>
              <w:top w:val="nil"/>
              <w:left w:val="nil"/>
              <w:bottom w:val="nil"/>
              <w:right w:val="nil"/>
              <w:between w:val="nil"/>
            </w:pBdr>
            <w:tabs>
              <w:tab w:val="center" w:pos="4320"/>
              <w:tab w:val="right" w:pos="8640"/>
            </w:tabs>
            <w:ind w:right="1569"/>
            <w:jc w:val="center"/>
            <w:rPr>
              <w:color w:val="000000"/>
            </w:rPr>
          </w:pPr>
          <w:proofErr w:type="spellStart"/>
          <w:r>
            <w:rPr>
              <w:rFonts w:ascii="Verdana" w:eastAsia="Verdana" w:hAnsi="Verdana" w:cs="Verdana"/>
              <w:color w:val="000000"/>
              <w:sz w:val="14"/>
              <w:szCs w:val="14"/>
            </w:rPr>
            <w:t>Telephone</w:t>
          </w:r>
          <w:proofErr w:type="spellEnd"/>
          <w:r>
            <w:rPr>
              <w:rFonts w:ascii="Verdana" w:eastAsia="Verdana" w:hAnsi="Verdana" w:cs="Verdana"/>
              <w:color w:val="000000"/>
              <w:sz w:val="14"/>
              <w:szCs w:val="14"/>
            </w:rPr>
            <w:t xml:space="preserve"> (805) 497-9511 </w:t>
          </w:r>
          <w:r>
            <w:rPr>
              <w:rFonts w:ascii="Noto Sans Symbols" w:eastAsia="Noto Sans Symbols" w:hAnsi="Noto Sans Symbols" w:cs="Noto Sans Symbols"/>
              <w:color w:val="000000"/>
              <w:sz w:val="14"/>
              <w:szCs w:val="14"/>
            </w:rPr>
            <w:t>∙</w:t>
          </w:r>
          <w:r>
            <w:rPr>
              <w:rFonts w:ascii="Verdana" w:eastAsia="Verdana" w:hAnsi="Verdana" w:cs="Verdana"/>
              <w:color w:val="000000"/>
              <w:sz w:val="14"/>
              <w:szCs w:val="14"/>
            </w:rPr>
            <w:t xml:space="preserve"> FAX (805) </w:t>
          </w:r>
        </w:p>
      </w:tc>
    </w:tr>
    <w:tr w:rsidR="00E036A8">
      <w:trPr>
        <w:jc w:val="center"/>
      </w:trPr>
      <w:tc>
        <w:tcPr>
          <w:tcW w:w="4427" w:type="dxa"/>
          <w:gridSpan w:val="2"/>
        </w:tcPr>
        <w:p w:rsidR="00E036A8" w:rsidRDefault="00DD0CE1">
          <w:pPr>
            <w:pBdr>
              <w:top w:val="nil"/>
              <w:left w:val="nil"/>
              <w:bottom w:val="nil"/>
              <w:right w:val="nil"/>
              <w:between w:val="nil"/>
            </w:pBdr>
            <w:tabs>
              <w:tab w:val="center" w:pos="4320"/>
              <w:tab w:val="right" w:pos="8640"/>
            </w:tabs>
            <w:rPr>
              <w:rFonts w:ascii="Verdana" w:eastAsia="Verdana" w:hAnsi="Verdana" w:cs="Verdana"/>
              <w:color w:val="000000"/>
              <w:sz w:val="16"/>
              <w:szCs w:val="16"/>
            </w:rPr>
          </w:pPr>
          <w:r>
            <w:rPr>
              <w:rFonts w:ascii="Verdana" w:eastAsia="Verdana" w:hAnsi="Verdana" w:cs="Verdana"/>
              <w:b/>
              <w:sz w:val="16"/>
              <w:szCs w:val="16"/>
            </w:rPr>
            <w:t>Kenny Loo</w:t>
          </w:r>
        </w:p>
      </w:tc>
      <w:tc>
        <w:tcPr>
          <w:tcW w:w="6373" w:type="dxa"/>
        </w:tcPr>
        <w:p w:rsidR="00E036A8" w:rsidRDefault="00DD0CE1">
          <w:pPr>
            <w:pBdr>
              <w:top w:val="nil"/>
              <w:left w:val="nil"/>
              <w:bottom w:val="nil"/>
              <w:right w:val="nil"/>
              <w:between w:val="nil"/>
            </w:pBdr>
            <w:tabs>
              <w:tab w:val="center" w:pos="4320"/>
              <w:tab w:val="right" w:pos="8640"/>
            </w:tabs>
            <w:jc w:val="right"/>
            <w:rPr>
              <w:rFonts w:ascii="Verdana" w:eastAsia="Verdana" w:hAnsi="Verdana" w:cs="Verdana"/>
              <w:color w:val="000000"/>
              <w:sz w:val="16"/>
              <w:szCs w:val="16"/>
            </w:rPr>
          </w:pPr>
          <w:r>
            <w:rPr>
              <w:rFonts w:ascii="Verdana" w:eastAsia="Verdana" w:hAnsi="Verdana" w:cs="Verdana"/>
              <w:b/>
              <w:sz w:val="16"/>
              <w:szCs w:val="16"/>
            </w:rPr>
            <w:t>Sonia Wilson</w:t>
          </w:r>
        </w:p>
      </w:tc>
    </w:tr>
    <w:tr w:rsidR="00E036A8">
      <w:trPr>
        <w:jc w:val="center"/>
      </w:trPr>
      <w:tc>
        <w:tcPr>
          <w:tcW w:w="4427" w:type="dxa"/>
          <w:gridSpan w:val="2"/>
        </w:tcPr>
        <w:p w:rsidR="00E036A8" w:rsidRDefault="00DD0CE1">
          <w:pPr>
            <w:pBdr>
              <w:top w:val="nil"/>
              <w:left w:val="nil"/>
              <w:bottom w:val="nil"/>
              <w:right w:val="nil"/>
              <w:between w:val="nil"/>
            </w:pBdr>
            <w:tabs>
              <w:tab w:val="center" w:pos="4320"/>
              <w:tab w:val="right" w:pos="8640"/>
            </w:tabs>
            <w:rPr>
              <w:rFonts w:ascii="Verdana" w:eastAsia="Verdana" w:hAnsi="Verdana" w:cs="Verdana"/>
              <w:color w:val="000000"/>
              <w:sz w:val="14"/>
              <w:szCs w:val="14"/>
            </w:rPr>
          </w:pPr>
          <w:proofErr w:type="spellStart"/>
          <w:r>
            <w:rPr>
              <w:rFonts w:ascii="Verdana" w:eastAsia="Verdana" w:hAnsi="Verdana" w:cs="Verdana"/>
              <w:i/>
              <w:sz w:val="14"/>
              <w:szCs w:val="14"/>
            </w:rPr>
            <w:t>Assistant</w:t>
          </w:r>
          <w:proofErr w:type="spellEnd"/>
          <w:r>
            <w:rPr>
              <w:rFonts w:ascii="Verdana" w:eastAsia="Verdana" w:hAnsi="Verdana" w:cs="Verdana"/>
              <w:i/>
              <w:sz w:val="14"/>
              <w:szCs w:val="14"/>
            </w:rPr>
            <w:t xml:space="preserve"> </w:t>
          </w:r>
          <w:proofErr w:type="spellStart"/>
          <w:r>
            <w:rPr>
              <w:rFonts w:ascii="Verdana" w:eastAsia="Verdana" w:hAnsi="Verdana" w:cs="Verdana"/>
              <w:i/>
              <w:sz w:val="14"/>
              <w:szCs w:val="14"/>
            </w:rPr>
            <w:t>Superintendent</w:t>
          </w:r>
          <w:proofErr w:type="spellEnd"/>
          <w:r>
            <w:rPr>
              <w:rFonts w:ascii="Verdana" w:eastAsia="Verdana" w:hAnsi="Verdana" w:cs="Verdana"/>
              <w:i/>
              <w:sz w:val="14"/>
              <w:szCs w:val="14"/>
            </w:rPr>
            <w:t xml:space="preserve"> of </w:t>
          </w:r>
          <w:proofErr w:type="spellStart"/>
          <w:r>
            <w:rPr>
              <w:rFonts w:ascii="Verdana" w:eastAsia="Verdana" w:hAnsi="Verdana" w:cs="Verdana"/>
              <w:i/>
              <w:sz w:val="14"/>
              <w:szCs w:val="14"/>
            </w:rPr>
            <w:t>Instructional</w:t>
          </w:r>
          <w:proofErr w:type="spellEnd"/>
          <w:r>
            <w:rPr>
              <w:rFonts w:ascii="Verdana" w:eastAsia="Verdana" w:hAnsi="Verdana" w:cs="Verdana"/>
              <w:i/>
              <w:sz w:val="14"/>
              <w:szCs w:val="14"/>
            </w:rPr>
            <w:t xml:space="preserve"> </w:t>
          </w:r>
          <w:proofErr w:type="spellStart"/>
          <w:r>
            <w:rPr>
              <w:rFonts w:ascii="Verdana" w:eastAsia="Verdana" w:hAnsi="Verdana" w:cs="Verdana"/>
              <w:i/>
              <w:sz w:val="14"/>
              <w:szCs w:val="14"/>
            </w:rPr>
            <w:t>Services</w:t>
          </w:r>
          <w:proofErr w:type="spellEnd"/>
        </w:p>
      </w:tc>
      <w:tc>
        <w:tcPr>
          <w:tcW w:w="6373" w:type="dxa"/>
        </w:tcPr>
        <w:p w:rsidR="00E036A8" w:rsidRDefault="00DD0CE1">
          <w:pPr>
            <w:pBdr>
              <w:top w:val="nil"/>
              <w:left w:val="nil"/>
              <w:bottom w:val="nil"/>
              <w:right w:val="nil"/>
              <w:between w:val="nil"/>
            </w:pBdr>
            <w:tabs>
              <w:tab w:val="center" w:pos="4320"/>
              <w:tab w:val="right" w:pos="8640"/>
            </w:tabs>
            <w:jc w:val="right"/>
            <w:rPr>
              <w:rFonts w:ascii="Verdana" w:eastAsia="Verdana" w:hAnsi="Verdana" w:cs="Verdana"/>
              <w:i/>
              <w:color w:val="000000"/>
              <w:sz w:val="14"/>
              <w:szCs w:val="14"/>
            </w:rPr>
          </w:pPr>
          <w:r>
            <w:rPr>
              <w:rFonts w:ascii="Verdana" w:eastAsia="Verdana" w:hAnsi="Verdana" w:cs="Verdana"/>
              <w:i/>
              <w:color w:val="000000"/>
              <w:sz w:val="14"/>
              <w:szCs w:val="14"/>
            </w:rPr>
            <w:t xml:space="preserve">Director, </w:t>
          </w:r>
          <w:proofErr w:type="spellStart"/>
          <w:r>
            <w:rPr>
              <w:rFonts w:ascii="Verdana" w:eastAsia="Verdana" w:hAnsi="Verdana" w:cs="Verdana"/>
              <w:i/>
              <w:color w:val="000000"/>
              <w:sz w:val="14"/>
              <w:szCs w:val="14"/>
            </w:rPr>
            <w:t>Middle</w:t>
          </w:r>
          <w:proofErr w:type="spellEnd"/>
          <w:r>
            <w:rPr>
              <w:rFonts w:ascii="Verdana" w:eastAsia="Verdana" w:hAnsi="Verdana" w:cs="Verdana"/>
              <w:i/>
              <w:color w:val="000000"/>
              <w:sz w:val="14"/>
              <w:szCs w:val="14"/>
            </w:rPr>
            <w:t xml:space="preserve"> Schools</w:t>
          </w:r>
        </w:p>
      </w:tc>
    </w:tr>
  </w:tbl>
  <w:p w:rsidR="00E036A8" w:rsidRDefault="00E036A8">
    <w:pPr>
      <w:pBdr>
        <w:top w:val="nil"/>
        <w:left w:val="nil"/>
        <w:bottom w:val="nil"/>
        <w:right w:val="nil"/>
        <w:between w:val="nil"/>
      </w:pBdr>
      <w:tabs>
        <w:tab w:val="center" w:pos="4320"/>
        <w:tab w:val="right" w:pos="864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6B3"/>
    <w:multiLevelType w:val="multilevel"/>
    <w:tmpl w:val="0B062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6673B3"/>
    <w:multiLevelType w:val="multilevel"/>
    <w:tmpl w:val="D506B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A8"/>
    <w:rsid w:val="00DD0CE1"/>
    <w:rsid w:val="00E0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7967D-C73B-43C2-BAB4-B5E38E4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38"/>
  </w:style>
  <w:style w:type="paragraph" w:styleId="Heading1">
    <w:name w:val="heading 1"/>
    <w:basedOn w:val="Normal"/>
    <w:next w:val="Normal"/>
    <w:uiPriority w:val="9"/>
    <w:qFormat/>
    <w:pPr>
      <w:keepNext/>
      <w:tabs>
        <w:tab w:val="center" w:pos="7380"/>
        <w:tab w:val="center" w:pos="9900"/>
      </w:tabs>
      <w:outlineLvl w:val="0"/>
    </w:pPr>
    <w:rPr>
      <w:bCs/>
      <w:i/>
      <w:sz w:val="1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tabs>
        <w:tab w:val="left" w:pos="2700"/>
        <w:tab w:val="right" w:pos="9960"/>
      </w:tabs>
      <w:ind w:right="20"/>
      <w:jc w:val="center"/>
    </w:pPr>
    <w:rPr>
      <w:rFonts w:ascii="Arial" w:hAnsi="Arial"/>
      <w:sz w:val="36"/>
    </w:rPr>
  </w:style>
  <w:style w:type="paragraph" w:styleId="Subtitle">
    <w:name w:val="Subtitle"/>
    <w:basedOn w:val="Normal"/>
    <w:next w:val="Normal"/>
    <w:link w:val="SubtitleChar"/>
    <w:pPr>
      <w:tabs>
        <w:tab w:val="left" w:pos="2700"/>
        <w:tab w:val="right" w:pos="9960"/>
      </w:tabs>
      <w:ind w:right="20"/>
      <w:jc w:val="center"/>
    </w:pPr>
    <w:rPr>
      <w:rFonts w:ascii="Arial" w:eastAsia="Arial" w:hAnsi="Arial" w:cs="Arial"/>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E0E91"/>
    <w:rPr>
      <w:rFonts w:ascii="Tahoma" w:hAnsi="Tahoma" w:cs="Tahoma"/>
      <w:sz w:val="16"/>
      <w:szCs w:val="16"/>
    </w:rPr>
  </w:style>
  <w:style w:type="table" w:styleId="TableGrid">
    <w:name w:val="Table Grid"/>
    <w:basedOn w:val="TableNormal"/>
    <w:rsid w:val="0005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0545D1"/>
    <w:rPr>
      <w:rFonts w:ascii="Arial" w:hAnsi="Arial"/>
      <w:sz w:val="36"/>
    </w:rPr>
  </w:style>
  <w:style w:type="character" w:customStyle="1" w:styleId="SubtitleChar">
    <w:name w:val="Subtitle Char"/>
    <w:basedOn w:val="DefaultParagraphFont"/>
    <w:link w:val="Subtitle"/>
    <w:rsid w:val="000545D1"/>
    <w:rPr>
      <w:rFonts w:ascii="Arial" w:hAnsi="Arial"/>
      <w:b/>
    </w:rPr>
  </w:style>
  <w:style w:type="character" w:customStyle="1" w:styleId="HeaderChar">
    <w:name w:val="Header Char"/>
    <w:basedOn w:val="DefaultParagraphFont"/>
    <w:link w:val="Header"/>
    <w:rsid w:val="00FF1B8F"/>
  </w:style>
  <w:style w:type="character" w:styleId="Hyperlink">
    <w:name w:val="Hyperlink"/>
    <w:basedOn w:val="DefaultParagraphFont"/>
    <w:unhideWhenUsed/>
    <w:rsid w:val="0067586D"/>
    <w:rPr>
      <w:color w:val="0000FF" w:themeColor="hyperlink"/>
      <w:u w:val="single"/>
    </w:rPr>
  </w:style>
  <w:style w:type="paragraph" w:styleId="BodyText">
    <w:name w:val="Body Text"/>
    <w:basedOn w:val="Normal"/>
    <w:link w:val="BodyTextChar"/>
    <w:uiPriority w:val="99"/>
    <w:unhideWhenUsed/>
    <w:rsid w:val="00DF5636"/>
    <w:pPr>
      <w:tabs>
        <w:tab w:val="left" w:pos="900"/>
      </w:tabs>
    </w:pPr>
    <w:rPr>
      <w:rFonts w:ascii="Arial" w:eastAsia="Calibri" w:hAnsi="Arial" w:cs="Arial"/>
      <w:sz w:val="21"/>
      <w:szCs w:val="21"/>
    </w:rPr>
  </w:style>
  <w:style w:type="character" w:customStyle="1" w:styleId="BodyTextChar">
    <w:name w:val="Body Text Char"/>
    <w:basedOn w:val="DefaultParagraphFont"/>
    <w:link w:val="BodyText"/>
    <w:uiPriority w:val="99"/>
    <w:rsid w:val="00DF5636"/>
    <w:rPr>
      <w:rFonts w:ascii="Arial" w:eastAsia="Calibri" w:hAnsi="Arial" w:cs="Arial"/>
      <w:sz w:val="21"/>
      <w:szCs w:val="21"/>
    </w:rPr>
  </w:style>
  <w:style w:type="paragraph" w:styleId="ListParagraph">
    <w:name w:val="List Paragraph"/>
    <w:basedOn w:val="Normal"/>
    <w:uiPriority w:val="34"/>
    <w:qFormat/>
    <w:rsid w:val="00DF5636"/>
    <w:pPr>
      <w:ind w:left="720"/>
      <w:contextualSpacing/>
    </w:pPr>
  </w:style>
  <w:style w:type="character" w:styleId="FollowedHyperlink">
    <w:name w:val="FollowedHyperlink"/>
    <w:basedOn w:val="DefaultParagraphFont"/>
    <w:semiHidden/>
    <w:unhideWhenUsed/>
    <w:rsid w:val="001974BA"/>
    <w:rPr>
      <w:color w:val="800080" w:themeColor="followedHyperlink"/>
      <w:u w:val="single"/>
    </w:rPr>
  </w:style>
  <w:style w:type="character" w:styleId="CommentReference">
    <w:name w:val="annotation reference"/>
    <w:basedOn w:val="DefaultParagraphFont"/>
    <w:semiHidden/>
    <w:unhideWhenUsed/>
    <w:rsid w:val="003473F9"/>
    <w:rPr>
      <w:sz w:val="16"/>
      <w:szCs w:val="16"/>
    </w:rPr>
  </w:style>
  <w:style w:type="paragraph" w:styleId="CommentText">
    <w:name w:val="annotation text"/>
    <w:basedOn w:val="Normal"/>
    <w:link w:val="CommentTextChar"/>
    <w:semiHidden/>
    <w:unhideWhenUsed/>
    <w:rsid w:val="003473F9"/>
  </w:style>
  <w:style w:type="character" w:customStyle="1" w:styleId="CommentTextChar">
    <w:name w:val="Comment Text Char"/>
    <w:basedOn w:val="DefaultParagraphFont"/>
    <w:link w:val="CommentText"/>
    <w:semiHidden/>
    <w:rsid w:val="003473F9"/>
  </w:style>
  <w:style w:type="paragraph" w:styleId="CommentSubject">
    <w:name w:val="annotation subject"/>
    <w:basedOn w:val="CommentText"/>
    <w:next w:val="CommentText"/>
    <w:link w:val="CommentSubjectChar"/>
    <w:semiHidden/>
    <w:unhideWhenUsed/>
    <w:rsid w:val="003473F9"/>
    <w:rPr>
      <w:b/>
      <w:bCs/>
    </w:rPr>
  </w:style>
  <w:style w:type="character" w:customStyle="1" w:styleId="CommentSubjectChar">
    <w:name w:val="Comment Subject Char"/>
    <w:basedOn w:val="CommentTextChar"/>
    <w:link w:val="CommentSubject"/>
    <w:semiHidden/>
    <w:rsid w:val="003473F9"/>
    <w:rPr>
      <w:b/>
      <w:bCs/>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B44D21"/>
    <w:rPr>
      <w:color w:val="605E5C"/>
      <w:shd w:val="clear" w:color="auto" w:fill="E1DFDD"/>
    </w:r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nejousd.org/cms/lib/CA50010930/Centricity/Domain/90/Math%20Pathways%20-%20Updated%203.07.2023%20SPA%20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bit.ly/CVMathPlac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ebN5Qxy+jQNg6Skhw+LPcRAPQ==">AMUW2mU9D3wSs1fIpAEIEH5hLhZftAvFffJ9GtWVCmODnOA6GlHNU3/cMjl+L0BxiryiA29W0BBsOSL+UJ9S8Y2ds1LcJLsSz3jXxw/divcSR+he6pu+bOJ0uH3ZhchaBTsVyHpmSKK2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C.V.U.S.D</dc:creator>
  <cp:lastModifiedBy>McCarthy, Karen</cp:lastModifiedBy>
  <cp:revision>2</cp:revision>
  <dcterms:created xsi:type="dcterms:W3CDTF">2023-03-28T15:47:00Z</dcterms:created>
  <dcterms:modified xsi:type="dcterms:W3CDTF">2023-03-28T15:47:00Z</dcterms:modified>
</cp:coreProperties>
</file>